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1E661A"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Geologic Carbon Sequestration</w:t>
      </w:r>
    </w:p>
    <w:p w:rsidR="001E661A"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Student’s Name</w:t>
      </w:r>
    </w:p>
    <w:p w:rsidR="00B821B1"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Institution</w:t>
      </w: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jc w:val="center"/>
        <w:rPr>
          <w:rFonts w:ascii="Times New Roman" w:hAnsi="Times New Roman" w:cs="Times New Roman"/>
          <w:sz w:val="24"/>
          <w:szCs w:val="24"/>
        </w:rPr>
      </w:pPr>
    </w:p>
    <w:p w:rsidR="00B821B1"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3670BC"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 xml:space="preserve">Geologic </w:t>
      </w:r>
      <w:r w:rsidRPr="001F60AA" w:rsidR="00850673">
        <w:rPr>
          <w:rFonts w:ascii="Times New Roman" w:hAnsi="Times New Roman" w:cs="Times New Roman"/>
          <w:sz w:val="24"/>
          <w:szCs w:val="24"/>
        </w:rPr>
        <w:t>Carbon sequestration</w:t>
      </w:r>
    </w:p>
    <w:p w:rsidR="00850673"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Abstract</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Geologic</w:t>
      </w:r>
      <w:r w:rsidRPr="001F60AA">
        <w:rPr>
          <w:rFonts w:ascii="Times New Roman" w:hAnsi="Times New Roman" w:cs="Times New Roman"/>
          <w:sz w:val="24"/>
          <w:szCs w:val="24"/>
        </w:rPr>
        <w:t xml:space="preserve"> Carbon Sequestration is a method of storage of carbon IV oxide in deep geologic formations to prevent its release and accumulation in the atmosphere in order to counter global warming as a result of the greenhouse gas and mitigate climate change. This method is made possible by carbon capture and storage technology in creating the carbon pools where CO2 is isolated at the source and stored underground. In geological media, carbon pools are either done through physical or chemical mechanisms.
</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Physical mechanisms entail storage or trapping of CO2 within an underground rock cavity. These cavities are usually former naturally occurring oil and gas reservoirs as well as aquifers and manmade cavities such as mines and caverns. Where storage is accumulated in oil and gas reservoirs, the pressure, as a result, enables enhanced oil recovery. In this application more oil and gas is extracted from the reservoirs placing the process as an economic benefit. This method is largely applied by the United States with about 32 million tonnes of carbon IV oxide going into the underground cavities each year</w:t>
      </w:r>
      <w:r w:rsidRPr="001F60AA" w:rsidR="001F60AA">
        <w:rPr>
          <w:rFonts w:ascii="Times New Roman" w:hAnsi="Times New Roman" w:cs="Times New Roman"/>
          <w:sz w:val="24"/>
          <w:szCs w:val="24"/>
        </w:rPr>
        <w:t xml:space="preserve"> (</w:t>
      </w:r>
      <w:r w:rsidRPr="001F60AA" w:rsidR="001F60AA">
        <w:rPr>
          <w:rFonts w:ascii="Times New Roman" w:hAnsi="Times New Roman" w:cs="Times New Roman"/>
          <w:sz w:val="24"/>
          <w:szCs w:val="24"/>
        </w:rPr>
        <w:t>Butman</w:t>
      </w:r>
      <w:r w:rsidRPr="001F60AA" w:rsidR="001F60AA">
        <w:rPr>
          <w:rFonts w:ascii="Times New Roman" w:hAnsi="Times New Roman" w:cs="Times New Roman"/>
          <w:sz w:val="24"/>
          <w:szCs w:val="24"/>
        </w:rPr>
        <w:t>, et al 2016)</w:t>
      </w:r>
      <w:r w:rsidRPr="001F60AA">
        <w:rPr>
          <w:rFonts w:ascii="Times New Roman" w:hAnsi="Times New Roman" w:cs="Times New Roman"/>
          <w:sz w:val="24"/>
          <w:szCs w:val="24"/>
        </w:rPr>
        <w:t xml:space="preserve">. </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 xml:space="preserve">The chemical mechanism, on the other hand, entails transforming the CO2 or creating carbon compounds with other substances in the ground. This can be further broken down into dissolving in underground water or oil reservoirs; decomposing the gas into its ionic components; creating stable mineral precipitates out of the gas and adsorption trapping. To make this storage mode a success several chemical mechanisms are applied. Carbon IV oxide is formulated into a dissolved solution that is pumped into the underground space where it saturates. Secondly, the gas is adsorbed onto a coal matrix due to its chemical nature; </w:t>
      </w:r>
      <w:r w:rsidRPr="001F60AA">
        <w:rPr>
          <w:rFonts w:ascii="Times New Roman" w:hAnsi="Times New Roman" w:cs="Times New Roman"/>
          <w:sz w:val="24"/>
          <w:szCs w:val="24"/>
        </w:rPr>
        <w:t>carbon IV oxide has a higher affinity to coal than the naturally occurring methane gas in the coal beds</w:t>
      </w:r>
      <w:r w:rsidRPr="001F60AA" w:rsidR="001F60AA">
        <w:rPr>
          <w:rFonts w:ascii="Times New Roman" w:hAnsi="Times New Roman" w:cs="Times New Roman"/>
          <w:sz w:val="24"/>
          <w:szCs w:val="24"/>
        </w:rPr>
        <w:t xml:space="preserve"> (Wang, &amp; Tokunaga, 2015)</w:t>
      </w:r>
      <w:r w:rsidRPr="001F60AA">
        <w:rPr>
          <w:rFonts w:ascii="Times New Roman" w:hAnsi="Times New Roman" w:cs="Times New Roman"/>
          <w:sz w:val="24"/>
          <w:szCs w:val="24"/>
        </w:rPr>
        <w:t>.</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Various geological formations are rendered suitable for carbon sequestration purpose: uneconomic coal seams, salt caverns, basalt formations, deep aquifers of brackish or saline water, oil and gas-rich organic shale, and mature oil and natural gas reservoirs.
</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Nonetheless, geologic carbon sequestration remains controversial due to its potential risks and the unaddressed sustainability questions</w:t>
      </w:r>
      <w:r w:rsidRPr="001F60AA" w:rsidR="001F60AA">
        <w:rPr>
          <w:rFonts w:ascii="Times New Roman" w:hAnsi="Times New Roman" w:cs="Times New Roman"/>
          <w:sz w:val="24"/>
          <w:szCs w:val="24"/>
        </w:rPr>
        <w:t xml:space="preserve"> (</w:t>
      </w:r>
      <w:r w:rsidRPr="001F60AA" w:rsidR="001F60AA">
        <w:rPr>
          <w:rFonts w:ascii="Times New Roman" w:hAnsi="Times New Roman" w:cs="Times New Roman"/>
          <w:sz w:val="24"/>
          <w:szCs w:val="24"/>
        </w:rPr>
        <w:t>Bielicki</w:t>
      </w:r>
      <w:r w:rsidRPr="001F60AA" w:rsidR="001F60AA">
        <w:rPr>
          <w:rFonts w:ascii="Times New Roman" w:hAnsi="Times New Roman" w:cs="Times New Roman"/>
          <w:sz w:val="24"/>
          <w:szCs w:val="24"/>
        </w:rPr>
        <w:t>, et al 2015)</w:t>
      </w:r>
      <w:r w:rsidRPr="001F60AA">
        <w:rPr>
          <w:rFonts w:ascii="Times New Roman" w:hAnsi="Times New Roman" w:cs="Times New Roman"/>
          <w:sz w:val="24"/>
          <w:szCs w:val="24"/>
        </w:rPr>
        <w:t>. This is concerns such as: how long will the stored carbon IV oxide gas remain in the geological formations without escaping? Are all risks involved in the process addressed prior to the projects? Will this mechanisms encourage the use of fossil fuels than rather reduce the use? This method actually involves expensive technology and intensive use of energy in the transportation of carbon to the sequestration facilities from where it is collected. This is usually done by piped transport or road carriage by trucks to the injection sites for the underground geologic storage. This method at most is considered experimental with the sustainability question, how long can this be done considering the costs and the actual motive of cutting carbon IV oxide production.
</w:t>
      </w:r>
    </w:p>
    <w:p w:rsidR="00B91A3D"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 xml:space="preserve">Introduction </w:t>
      </w:r>
    </w:p>
    <w:p w:rsidR="00B91A3D"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 xml:space="preserve">Carbon emission and accumulation in the atmosphere </w:t>
      </w:r>
      <w:r w:rsidRPr="001F60AA">
        <w:rPr>
          <w:rFonts w:ascii="Times New Roman" w:hAnsi="Times New Roman" w:cs="Times New Roman"/>
          <w:sz w:val="24"/>
          <w:szCs w:val="24"/>
        </w:rPr>
        <w:t xml:space="preserve">remains a global concern over issues of global climate change. This is especially due to anthropogenic activities that have attracted the development of technologies to mitigate the issue. The trapping of carbon IV oxide at emission sites has proved effective whereby the gas is then taken to injection sites for underground storage.  Innovation and advancement in technology </w:t>
      </w:r>
      <w:r w:rsidRPr="001F60AA">
        <w:rPr>
          <w:rFonts w:ascii="Times New Roman" w:hAnsi="Times New Roman" w:cs="Times New Roman"/>
          <w:sz w:val="24"/>
          <w:szCs w:val="24"/>
        </w:rPr>
        <w:t xml:space="preserve">should make the process more efficient in meeting the goal as well as cost-effective. This is essential as reducing carbon component s in the atmosphere is necessary and mandatory in the long run if the </w:t>
      </w:r>
      <w:r w:rsidRPr="001F60AA">
        <w:rPr>
          <w:rFonts w:ascii="Times New Roman" w:hAnsi="Times New Roman" w:cs="Times New Roman"/>
          <w:sz w:val="24"/>
          <w:szCs w:val="24"/>
        </w:rPr>
        <w:t xml:space="preserve">current rate of global warming is to be maintained or reduced in this case, the target carbon iv oxide producers been human actions such as factory farming and use of fossil fuels. The United States Department of Energy uses post-combustion capture, pre-combustion capture and oxy-combustion to ensure collection of gas at source as well as evaluate efficiency and effectiveness of the approaches for carbon sequestration as they are all under investigation. </w:t>
      </w:r>
      <w:r w:rsidRPr="001F60AA" w:rsidR="00A763B9">
        <w:rPr>
          <w:rFonts w:ascii="Times New Roman" w:hAnsi="Times New Roman" w:cs="Times New Roman"/>
          <w:sz w:val="24"/>
          <w:szCs w:val="24"/>
        </w:rPr>
        <w:t>In separation from other components, gas phase separation, absorption into a liquid and adsorption on a solid are used to isolated and ensure the storage of the greenhouse gas components.</w:t>
      </w:r>
    </w:p>
    <w:p w:rsidR="00A763B9"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 xml:space="preserve">In managing the carbon budget, apart from geologic carbon sequestration ecosystems play a vital role in ensuring removal of </w:t>
      </w:r>
      <w:r w:rsidRPr="001F60AA" w:rsidR="0003295A">
        <w:rPr>
          <w:rFonts w:ascii="Times New Roman" w:hAnsi="Times New Roman" w:cs="Times New Roman"/>
          <w:sz w:val="24"/>
          <w:szCs w:val="24"/>
        </w:rPr>
        <w:t>emitted</w:t>
      </w:r>
      <w:r w:rsidRPr="001F60AA">
        <w:rPr>
          <w:rFonts w:ascii="Times New Roman" w:hAnsi="Times New Roman" w:cs="Times New Roman"/>
          <w:sz w:val="24"/>
          <w:szCs w:val="24"/>
        </w:rPr>
        <w:t xml:space="preserve"> carbon from the atmosphere; land ecosystems act as carbon sinks where they filter out and store carbon properties in their bio</w:t>
      </w:r>
      <w:r w:rsidRPr="001F60AA" w:rsidR="0003295A">
        <w:rPr>
          <w:rFonts w:ascii="Times New Roman" w:hAnsi="Times New Roman" w:cs="Times New Roman"/>
          <w:sz w:val="24"/>
          <w:szCs w:val="24"/>
        </w:rPr>
        <w:t>mass especially the vegetation; mainly this is made possible by the forest cover. The Intergovernmental Panel on Climate Change argues that with continued conservation efforts sustainable use of the natural resource will ensure reduction of carbon IV oxide in the atmosphere. This action simultaneously ensures that soil and water quality is maintained and that natural habitats remain serene. Carbon sequestration</w:t>
      </w:r>
      <w:r w:rsidRPr="001F60AA" w:rsidR="00AE2FEB">
        <w:rPr>
          <w:rFonts w:ascii="Times New Roman" w:hAnsi="Times New Roman" w:cs="Times New Roman"/>
          <w:sz w:val="24"/>
          <w:szCs w:val="24"/>
        </w:rPr>
        <w:t xml:space="preserve"> by vegetation cover is gradual and effective where the amounts of carbon produced are minimal in comparison to the vegetation coverage, specifically their carbon pooling capabilities. Today, human activities produce large amounts of greenhouse gas beyond the natural mechanisms of controlling carbon sequestration as depicted in the carbon cycle. This is why modern mechanisms such as injecting the gas into underground cavities are vital as the constant rise of carbon </w:t>
      </w:r>
      <w:r w:rsidRPr="001F60AA" w:rsidR="00270FBC">
        <w:rPr>
          <w:rFonts w:ascii="Times New Roman" w:hAnsi="Times New Roman" w:cs="Times New Roman"/>
          <w:sz w:val="24"/>
          <w:szCs w:val="24"/>
        </w:rPr>
        <w:t>IV</w:t>
      </w:r>
      <w:r w:rsidRPr="001F60AA" w:rsidR="00AE2FEB">
        <w:rPr>
          <w:rFonts w:ascii="Times New Roman" w:hAnsi="Times New Roman" w:cs="Times New Roman"/>
          <w:sz w:val="24"/>
          <w:szCs w:val="24"/>
        </w:rPr>
        <w:t xml:space="preserve"> oxide has dire environmental impacts. </w:t>
      </w:r>
    </w:p>
    <w:p w:rsidR="00AE2FEB"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High levels of the greenhouse gas in the atmosphere causes the global rise in average temperatures, rise in sea level due to the melting of mountain ice caps and glaciation, destruction of habitats both terrestrial and aquatic, and oceanic acidification</w:t>
      </w:r>
      <w:r w:rsidRPr="001F60AA" w:rsidR="00270FBC">
        <w:rPr>
          <w:rFonts w:ascii="Times New Roman" w:hAnsi="Times New Roman" w:cs="Times New Roman"/>
          <w:sz w:val="24"/>
          <w:szCs w:val="24"/>
        </w:rPr>
        <w:t xml:space="preserve"> and warming</w:t>
      </w:r>
      <w:r w:rsidRPr="001F60AA">
        <w:rPr>
          <w:rFonts w:ascii="Times New Roman" w:hAnsi="Times New Roman" w:cs="Times New Roman"/>
          <w:sz w:val="24"/>
          <w:szCs w:val="24"/>
        </w:rPr>
        <w:t xml:space="preserve"> which </w:t>
      </w:r>
      <w:r w:rsidRPr="001F60AA" w:rsidR="00270FBC">
        <w:rPr>
          <w:rFonts w:ascii="Times New Roman" w:hAnsi="Times New Roman" w:cs="Times New Roman"/>
          <w:sz w:val="24"/>
          <w:szCs w:val="24"/>
        </w:rPr>
        <w:t xml:space="preserve">destroys </w:t>
      </w:r>
      <w:r w:rsidRPr="001F60AA" w:rsidR="00270FBC">
        <w:rPr>
          <w:rFonts w:ascii="Times New Roman" w:hAnsi="Times New Roman" w:cs="Times New Roman"/>
          <w:sz w:val="24"/>
          <w:szCs w:val="24"/>
        </w:rPr>
        <w:t>coral reefs which is among the most productive ecosystems. Continuous historical land use change is, however, a major threat to championing the role of the natural environment in countering carbon emissions. This is evident where forests have been converted to croplands, grasslands to rangelands or to urban areas causing changes in the natural carbon dynamics</w:t>
      </w:r>
      <w:r w:rsidRPr="001F60AA" w:rsidR="001E661A">
        <w:rPr>
          <w:rFonts w:ascii="Times New Roman" w:hAnsi="Times New Roman" w:cs="Times New Roman"/>
          <w:sz w:val="24"/>
          <w:szCs w:val="24"/>
        </w:rPr>
        <w:t xml:space="preserve"> (Lu, et. al 2015)</w:t>
      </w:r>
      <w:r w:rsidRPr="001F60AA" w:rsidR="00270FBC">
        <w:rPr>
          <w:rFonts w:ascii="Times New Roman" w:hAnsi="Times New Roman" w:cs="Times New Roman"/>
          <w:sz w:val="24"/>
          <w:szCs w:val="24"/>
        </w:rPr>
        <w:t>.</w:t>
      </w:r>
    </w:p>
    <w:p w:rsidR="00B821B1"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 xml:space="preserve">In regard to geologic carbon sequestration efforts, water quality considering possible leakage of trapped carbon components into groundwater is a concern. </w:t>
      </w:r>
      <w:r w:rsidRPr="001F60AA" w:rsidR="00693CBE">
        <w:rPr>
          <w:rFonts w:ascii="Times New Roman" w:hAnsi="Times New Roman" w:cs="Times New Roman"/>
          <w:sz w:val="24"/>
          <w:szCs w:val="24"/>
        </w:rPr>
        <w:t>Therefore, sites, where carbon IV oxide constituents have been stored, are thoroughly monitored to evaluate potential risks and utility of the projects, as well as formulate reliable future management techniques for carbon sequestration projects. This is termed as reservoir integrity whereby this long-term storage must ensure zero leakage into the atmosphere and sh</w:t>
      </w:r>
      <w:r w:rsidRPr="001F60AA">
        <w:rPr>
          <w:rFonts w:ascii="Times New Roman" w:hAnsi="Times New Roman" w:cs="Times New Roman"/>
          <w:sz w:val="24"/>
          <w:szCs w:val="24"/>
        </w:rPr>
        <w:t xml:space="preserve">allow groundwater sources; these encompass the </w:t>
      </w:r>
      <w:r w:rsidRPr="001F60AA" w:rsidR="00693CBE">
        <w:rPr>
          <w:rFonts w:ascii="Times New Roman" w:hAnsi="Times New Roman" w:cs="Times New Roman"/>
          <w:sz w:val="24"/>
          <w:szCs w:val="24"/>
        </w:rPr>
        <w:t>federal and state regulatory agencies</w:t>
      </w:r>
      <w:r w:rsidRPr="001F60AA">
        <w:rPr>
          <w:rFonts w:ascii="Times New Roman" w:hAnsi="Times New Roman" w:cs="Times New Roman"/>
          <w:sz w:val="24"/>
          <w:szCs w:val="24"/>
        </w:rPr>
        <w:t xml:space="preserve"> efforts to maintain the quality of groundwater</w:t>
      </w:r>
      <w:r w:rsidRPr="001F60AA" w:rsidR="001E661A">
        <w:rPr>
          <w:rFonts w:ascii="Times New Roman" w:hAnsi="Times New Roman" w:cs="Times New Roman"/>
          <w:sz w:val="24"/>
          <w:szCs w:val="24"/>
        </w:rPr>
        <w:t xml:space="preserve"> (Carroll, et al 2014)</w:t>
      </w:r>
      <w:r w:rsidRPr="001F60AA">
        <w:rPr>
          <w:rFonts w:ascii="Times New Roman" w:hAnsi="Times New Roman" w:cs="Times New Roman"/>
          <w:sz w:val="24"/>
          <w:szCs w:val="24"/>
        </w:rPr>
        <w:t xml:space="preserve">. </w:t>
      </w:r>
    </w:p>
    <w:p w:rsidR="00693CBE" w:rsidRPr="001F60AA" w:rsidP="001F60AA">
      <w:pPr>
        <w:spacing w:line="480" w:lineRule="auto"/>
        <w:ind w:firstLine="720"/>
        <w:rPr>
          <w:rFonts w:ascii="Times New Roman" w:hAnsi="Times New Roman" w:cs="Times New Roman"/>
          <w:sz w:val="24"/>
          <w:szCs w:val="24"/>
        </w:rPr>
      </w:pPr>
      <w:r w:rsidRPr="001F60AA">
        <w:rPr>
          <w:rFonts w:ascii="Times New Roman" w:hAnsi="Times New Roman" w:cs="Times New Roman"/>
          <w:sz w:val="24"/>
          <w:szCs w:val="24"/>
        </w:rPr>
        <w:t xml:space="preserve">In conclusion, a geological carbon sequestration is a vital tool in maintaining the natural carbon sequestration mechanisms. This is amidst the global rise in carbon </w:t>
      </w:r>
      <w:r w:rsidRPr="001F60AA" w:rsidR="001E661A">
        <w:rPr>
          <w:rFonts w:ascii="Times New Roman" w:hAnsi="Times New Roman" w:cs="Times New Roman"/>
          <w:sz w:val="24"/>
          <w:szCs w:val="24"/>
        </w:rPr>
        <w:t>IV</w:t>
      </w:r>
      <w:r w:rsidRPr="001F60AA">
        <w:rPr>
          <w:rFonts w:ascii="Times New Roman" w:hAnsi="Times New Roman" w:cs="Times New Roman"/>
          <w:sz w:val="24"/>
          <w:szCs w:val="24"/>
        </w:rPr>
        <w:t xml:space="preserve"> oxide emissions that requires that individual emitters bear the full costs of ensuring the elimination of the gas from the atmosphere. High levels of greenhouse gases in the atmosphere is a threat to natural biodiversity and the gases actively deplete the ozone layer.
</w:t>
      </w:r>
    </w:p>
    <w:p w:rsidR="00AE2FEB" w:rsidRPr="001F60AA" w:rsidP="001F60AA">
      <w:pPr>
        <w:spacing w:line="480" w:lineRule="auto"/>
        <w:rPr>
          <w:rFonts w:ascii="Times New Roman" w:hAnsi="Times New Roman" w:cs="Times New Roman"/>
          <w:sz w:val="24"/>
          <w:szCs w:val="24"/>
        </w:rPr>
      </w:pPr>
    </w:p>
    <w:p w:rsidR="00850673"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1E661A" w:rsidRPr="001F60AA" w:rsidP="001F60AA">
      <w:pPr>
        <w:spacing w:line="480" w:lineRule="auto"/>
        <w:rPr>
          <w:rFonts w:ascii="Times New Roman" w:hAnsi="Times New Roman" w:cs="Times New Roman"/>
          <w:sz w:val="24"/>
          <w:szCs w:val="24"/>
        </w:rPr>
      </w:pPr>
    </w:p>
    <w:p w:rsidR="001E661A" w:rsidRPr="001F60AA" w:rsidP="001F60AA">
      <w:pPr>
        <w:spacing w:line="480" w:lineRule="auto"/>
        <w:jc w:val="center"/>
        <w:rPr>
          <w:rFonts w:ascii="Times New Roman" w:hAnsi="Times New Roman" w:cs="Times New Roman"/>
          <w:sz w:val="24"/>
          <w:szCs w:val="24"/>
        </w:rPr>
      </w:pPr>
      <w:r w:rsidRPr="001F60AA">
        <w:rPr>
          <w:rFonts w:ascii="Times New Roman" w:hAnsi="Times New Roman" w:cs="Times New Roman"/>
          <w:sz w:val="24"/>
          <w:szCs w:val="24"/>
        </w:rPr>
        <w:t>References</w:t>
      </w:r>
    </w:p>
    <w:p w:rsidR="001E661A"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 xml:space="preserve">Lu, X., </w:t>
      </w:r>
      <w:r w:rsidRPr="001F60AA">
        <w:rPr>
          <w:rFonts w:ascii="Times New Roman" w:hAnsi="Times New Roman" w:cs="Times New Roman"/>
          <w:sz w:val="24"/>
          <w:szCs w:val="24"/>
        </w:rPr>
        <w:t>Kicklighter</w:t>
      </w:r>
      <w:r w:rsidRPr="001F60AA">
        <w:rPr>
          <w:rFonts w:ascii="Times New Roman" w:hAnsi="Times New Roman" w:cs="Times New Roman"/>
          <w:sz w:val="24"/>
          <w:szCs w:val="24"/>
        </w:rPr>
        <w:t xml:space="preserve">, D. W., </w:t>
      </w:r>
      <w:r w:rsidRPr="001F60AA">
        <w:rPr>
          <w:rFonts w:ascii="Times New Roman" w:hAnsi="Times New Roman" w:cs="Times New Roman"/>
          <w:sz w:val="24"/>
          <w:szCs w:val="24"/>
        </w:rPr>
        <w:t>Melillo</w:t>
      </w:r>
      <w:r w:rsidRPr="001F60AA">
        <w:rPr>
          <w:rFonts w:ascii="Times New Roman" w:hAnsi="Times New Roman" w:cs="Times New Roman"/>
          <w:sz w:val="24"/>
          <w:szCs w:val="24"/>
        </w:rPr>
        <w:t xml:space="preserve">, J. M., Reilly, J. M., &amp; </w:t>
      </w:r>
      <w:r w:rsidRPr="001F60AA">
        <w:rPr>
          <w:rFonts w:ascii="Times New Roman" w:hAnsi="Times New Roman" w:cs="Times New Roman"/>
          <w:sz w:val="24"/>
          <w:szCs w:val="24"/>
        </w:rPr>
        <w:t>Xu</w:t>
      </w:r>
      <w:r w:rsidRPr="001F60AA">
        <w:rPr>
          <w:rFonts w:ascii="Times New Roman" w:hAnsi="Times New Roman" w:cs="Times New Roman"/>
          <w:sz w:val="24"/>
          <w:szCs w:val="24"/>
        </w:rPr>
        <w:t>, L. (2015). Land carbon</w:t>
      </w:r>
    </w:p>
    <w:p w:rsidR="001E661A" w:rsidRPr="001F60AA" w:rsidP="001F60AA">
      <w:pPr>
        <w:spacing w:line="480" w:lineRule="auto"/>
        <w:ind w:left="720"/>
        <w:rPr>
          <w:rFonts w:ascii="Times New Roman" w:hAnsi="Times New Roman" w:cs="Times New Roman"/>
          <w:sz w:val="24"/>
          <w:szCs w:val="24"/>
        </w:rPr>
      </w:pPr>
      <w:r w:rsidRPr="001F60AA">
        <w:rPr>
          <w:rFonts w:ascii="Times New Roman" w:hAnsi="Times New Roman" w:cs="Times New Roman"/>
          <w:sz w:val="24"/>
          <w:szCs w:val="24"/>
        </w:rPr>
        <w:t xml:space="preserve"> </w:t>
      </w:r>
      <w:r w:rsidRPr="001F60AA">
        <w:rPr>
          <w:rFonts w:ascii="Times New Roman" w:hAnsi="Times New Roman" w:cs="Times New Roman"/>
          <w:sz w:val="24"/>
          <w:szCs w:val="24"/>
        </w:rPr>
        <w:t>sequestration</w:t>
      </w:r>
      <w:r w:rsidRPr="001F60AA">
        <w:rPr>
          <w:rFonts w:ascii="Times New Roman" w:hAnsi="Times New Roman" w:cs="Times New Roman"/>
          <w:sz w:val="24"/>
          <w:szCs w:val="24"/>
        </w:rPr>
        <w:t xml:space="preserve"> within the conterminous United States: Regional</w:t>
      </w:r>
      <w:r w:rsidRPr="001F60AA">
        <w:rPr>
          <w:rFonts w:ascii="Cambria Math" w:hAnsi="Cambria Math" w:cs="Cambria Math"/>
          <w:sz w:val="24"/>
          <w:szCs w:val="24"/>
        </w:rPr>
        <w:t>‐</w:t>
      </w:r>
      <w:r w:rsidRPr="001F60AA">
        <w:rPr>
          <w:rFonts w:ascii="Times New Roman" w:hAnsi="Times New Roman" w:cs="Times New Roman"/>
          <w:sz w:val="24"/>
          <w:szCs w:val="24"/>
        </w:rPr>
        <w:t>and state</w:t>
      </w:r>
      <w:r w:rsidRPr="001F60AA">
        <w:rPr>
          <w:rFonts w:ascii="Cambria Math" w:hAnsi="Cambria Math" w:cs="Cambria Math"/>
          <w:sz w:val="24"/>
          <w:szCs w:val="24"/>
        </w:rPr>
        <w:t>‐</w:t>
      </w:r>
      <w:r w:rsidRPr="001F60AA">
        <w:rPr>
          <w:rFonts w:ascii="Times New Roman" w:hAnsi="Times New Roman" w:cs="Times New Roman"/>
          <w:sz w:val="24"/>
          <w:szCs w:val="24"/>
        </w:rPr>
        <w:t xml:space="preserve">level analyses. Journal of Geophysical Research: </w:t>
      </w:r>
      <w:r w:rsidRPr="001F60AA">
        <w:rPr>
          <w:rFonts w:ascii="Times New Roman" w:hAnsi="Times New Roman" w:cs="Times New Roman"/>
          <w:sz w:val="24"/>
          <w:szCs w:val="24"/>
        </w:rPr>
        <w:t>Biogeosciences</w:t>
      </w:r>
      <w:r w:rsidRPr="001F60AA">
        <w:rPr>
          <w:rFonts w:ascii="Times New Roman" w:hAnsi="Times New Roman" w:cs="Times New Roman"/>
          <w:sz w:val="24"/>
          <w:szCs w:val="24"/>
        </w:rPr>
        <w:t>, 120(2), 379-398.</w:t>
      </w:r>
    </w:p>
    <w:p w:rsidR="001E661A"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 xml:space="preserve">Carroll, S. A., Keating, E., </w:t>
      </w:r>
      <w:r w:rsidRPr="001F60AA">
        <w:rPr>
          <w:rFonts w:ascii="Times New Roman" w:hAnsi="Times New Roman" w:cs="Times New Roman"/>
          <w:sz w:val="24"/>
          <w:szCs w:val="24"/>
        </w:rPr>
        <w:t>Mansoor</w:t>
      </w:r>
      <w:r w:rsidRPr="001F60AA">
        <w:rPr>
          <w:rFonts w:ascii="Times New Roman" w:hAnsi="Times New Roman" w:cs="Times New Roman"/>
          <w:sz w:val="24"/>
          <w:szCs w:val="24"/>
        </w:rPr>
        <w:t xml:space="preserve">, K., Dai, Z., Sun, Y., </w:t>
      </w:r>
      <w:r w:rsidRPr="001F60AA">
        <w:rPr>
          <w:rFonts w:ascii="Times New Roman" w:hAnsi="Times New Roman" w:cs="Times New Roman"/>
          <w:sz w:val="24"/>
          <w:szCs w:val="24"/>
        </w:rPr>
        <w:t>Trainor-Guitton</w:t>
      </w:r>
      <w:r w:rsidRPr="001F60AA">
        <w:rPr>
          <w:rFonts w:ascii="Times New Roman" w:hAnsi="Times New Roman" w:cs="Times New Roman"/>
          <w:sz w:val="24"/>
          <w:szCs w:val="24"/>
        </w:rPr>
        <w:t>, W., &amp; Bacon,</w:t>
      </w:r>
    </w:p>
    <w:p w:rsidR="001E661A" w:rsidRPr="001F60AA" w:rsidP="001F60AA">
      <w:pPr>
        <w:spacing w:line="480" w:lineRule="auto"/>
        <w:ind w:left="720" w:firstLine="60"/>
        <w:rPr>
          <w:rFonts w:ascii="Times New Roman" w:hAnsi="Times New Roman" w:cs="Times New Roman"/>
          <w:sz w:val="24"/>
          <w:szCs w:val="24"/>
        </w:rPr>
      </w:pPr>
      <w:r w:rsidRPr="001F60AA">
        <w:rPr>
          <w:rFonts w:ascii="Times New Roman" w:hAnsi="Times New Roman" w:cs="Times New Roman"/>
          <w:sz w:val="24"/>
          <w:szCs w:val="24"/>
        </w:rPr>
        <w:t>D. (2014). Key factors for determining groundwater impacts due to leakage from geologic carbon sequestration reservoirs</w:t>
      </w:r>
      <w:bookmarkStart w:id="0" w:name="_GoBack"/>
      <w:bookmarkEnd w:id="0"/>
      <w:r w:rsidRPr="001F60AA">
        <w:rPr>
          <w:rFonts w:ascii="Times New Roman" w:hAnsi="Times New Roman" w:cs="Times New Roman"/>
          <w:sz w:val="24"/>
          <w:szCs w:val="24"/>
        </w:rPr>
        <w:t>. International Journal of Greenhouse Gas Control, 29, 153-168.</w:t>
      </w:r>
    </w:p>
    <w:p w:rsidR="001E661A"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Bielicki</w:t>
      </w:r>
      <w:r w:rsidRPr="001F60AA">
        <w:rPr>
          <w:rFonts w:ascii="Times New Roman" w:hAnsi="Times New Roman" w:cs="Times New Roman"/>
          <w:sz w:val="24"/>
          <w:szCs w:val="24"/>
        </w:rPr>
        <w:t xml:space="preserve">, J. M., Peters, C. A., </w:t>
      </w:r>
      <w:r w:rsidRPr="001F60AA">
        <w:rPr>
          <w:rFonts w:ascii="Times New Roman" w:hAnsi="Times New Roman" w:cs="Times New Roman"/>
          <w:sz w:val="24"/>
          <w:szCs w:val="24"/>
        </w:rPr>
        <w:t>Fitts</w:t>
      </w:r>
      <w:r w:rsidRPr="001F60AA">
        <w:rPr>
          <w:rFonts w:ascii="Times New Roman" w:hAnsi="Times New Roman" w:cs="Times New Roman"/>
          <w:sz w:val="24"/>
          <w:szCs w:val="24"/>
        </w:rPr>
        <w:t>, J. P., &amp; Wilson, E. J. (2015). An examination of geologic</w:t>
      </w:r>
    </w:p>
    <w:p w:rsidR="001E661A" w:rsidRPr="001F60AA" w:rsidP="001F60AA">
      <w:pPr>
        <w:spacing w:line="480" w:lineRule="auto"/>
        <w:ind w:left="720" w:firstLine="60"/>
        <w:rPr>
          <w:rFonts w:ascii="Times New Roman" w:hAnsi="Times New Roman" w:cs="Times New Roman"/>
          <w:sz w:val="24"/>
          <w:szCs w:val="24"/>
        </w:rPr>
      </w:pPr>
      <w:r w:rsidRPr="001F60AA">
        <w:rPr>
          <w:rFonts w:ascii="Times New Roman" w:hAnsi="Times New Roman" w:cs="Times New Roman"/>
          <w:sz w:val="24"/>
          <w:szCs w:val="24"/>
        </w:rPr>
        <w:t>carbon</w:t>
      </w:r>
      <w:r w:rsidRPr="001F60AA">
        <w:rPr>
          <w:rFonts w:ascii="Times New Roman" w:hAnsi="Times New Roman" w:cs="Times New Roman"/>
          <w:sz w:val="24"/>
          <w:szCs w:val="24"/>
        </w:rPr>
        <w:t xml:space="preserve"> sequestration policies in the context of leakage potential. International Journal of Greenhouse Gas Control, 37, 61-75.</w:t>
      </w:r>
    </w:p>
    <w:p w:rsidR="001E661A"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Butman</w:t>
      </w:r>
      <w:r w:rsidRPr="001F60AA">
        <w:rPr>
          <w:rFonts w:ascii="Times New Roman" w:hAnsi="Times New Roman" w:cs="Times New Roman"/>
          <w:sz w:val="24"/>
          <w:szCs w:val="24"/>
        </w:rPr>
        <w:t xml:space="preserve">, D., </w:t>
      </w:r>
      <w:r w:rsidRPr="001F60AA">
        <w:rPr>
          <w:rFonts w:ascii="Times New Roman" w:hAnsi="Times New Roman" w:cs="Times New Roman"/>
          <w:sz w:val="24"/>
          <w:szCs w:val="24"/>
        </w:rPr>
        <w:t>Stackpoole</w:t>
      </w:r>
      <w:r w:rsidRPr="001F60AA">
        <w:rPr>
          <w:rFonts w:ascii="Times New Roman" w:hAnsi="Times New Roman" w:cs="Times New Roman"/>
          <w:sz w:val="24"/>
          <w:szCs w:val="24"/>
        </w:rPr>
        <w:t xml:space="preserve">, S., Stets, E., McDonald, C. P., </w:t>
      </w:r>
      <w:r w:rsidRPr="001F60AA">
        <w:rPr>
          <w:rFonts w:ascii="Times New Roman" w:hAnsi="Times New Roman" w:cs="Times New Roman"/>
          <w:sz w:val="24"/>
          <w:szCs w:val="24"/>
        </w:rPr>
        <w:t>Clow</w:t>
      </w:r>
      <w:r w:rsidRPr="001F60AA">
        <w:rPr>
          <w:rFonts w:ascii="Times New Roman" w:hAnsi="Times New Roman" w:cs="Times New Roman"/>
          <w:sz w:val="24"/>
          <w:szCs w:val="24"/>
        </w:rPr>
        <w:t xml:space="preserve">, D. W., &amp; </w:t>
      </w:r>
      <w:r w:rsidRPr="001F60AA">
        <w:rPr>
          <w:rFonts w:ascii="Times New Roman" w:hAnsi="Times New Roman" w:cs="Times New Roman"/>
          <w:sz w:val="24"/>
          <w:szCs w:val="24"/>
        </w:rPr>
        <w:t>Striegl</w:t>
      </w:r>
      <w:r w:rsidRPr="001F60AA">
        <w:rPr>
          <w:rFonts w:ascii="Times New Roman" w:hAnsi="Times New Roman" w:cs="Times New Roman"/>
          <w:sz w:val="24"/>
          <w:szCs w:val="24"/>
        </w:rPr>
        <w:t>, R. G. (2016).</w:t>
      </w:r>
    </w:p>
    <w:p w:rsidR="001E661A" w:rsidRPr="001F60AA" w:rsidP="001F60AA">
      <w:pPr>
        <w:spacing w:line="480" w:lineRule="auto"/>
        <w:ind w:left="720"/>
        <w:rPr>
          <w:rFonts w:ascii="Times New Roman" w:hAnsi="Times New Roman" w:cs="Times New Roman"/>
          <w:sz w:val="24"/>
          <w:szCs w:val="24"/>
        </w:rPr>
      </w:pPr>
      <w:r w:rsidRPr="001F60AA">
        <w:rPr>
          <w:rFonts w:ascii="Times New Roman" w:hAnsi="Times New Roman" w:cs="Times New Roman"/>
          <w:sz w:val="24"/>
          <w:szCs w:val="24"/>
        </w:rPr>
        <w:t>Aquatic carbon cycling in the conterminous United States and implications for terrestrial carbon accounting. Proceedings of the National Academy of Sciences, 113(1), 58-63.</w:t>
      </w:r>
    </w:p>
    <w:p w:rsidR="001E661A" w:rsidRPr="001F60AA" w:rsidP="001F60AA">
      <w:pPr>
        <w:spacing w:line="480" w:lineRule="auto"/>
        <w:rPr>
          <w:rFonts w:ascii="Times New Roman" w:hAnsi="Times New Roman" w:cs="Times New Roman"/>
          <w:sz w:val="24"/>
          <w:szCs w:val="24"/>
        </w:rPr>
      </w:pPr>
      <w:r w:rsidRPr="001F60AA">
        <w:rPr>
          <w:rFonts w:ascii="Times New Roman" w:hAnsi="Times New Roman" w:cs="Times New Roman"/>
          <w:sz w:val="24"/>
          <w:szCs w:val="24"/>
        </w:rPr>
        <w:t>Wang, S., &amp; Tokunaga, T. K. (2015). Capillary pressure–saturation relations for supercritical</w:t>
      </w:r>
    </w:p>
    <w:p w:rsidR="001E661A" w:rsidRPr="001F60AA" w:rsidP="001F60AA">
      <w:pPr>
        <w:spacing w:line="480" w:lineRule="auto"/>
        <w:ind w:left="720" w:firstLine="60"/>
        <w:rPr>
          <w:rFonts w:ascii="Times New Roman" w:hAnsi="Times New Roman" w:cs="Times New Roman"/>
          <w:sz w:val="24"/>
          <w:szCs w:val="24"/>
        </w:rPr>
      </w:pPr>
      <w:r w:rsidRPr="001F60AA">
        <w:rPr>
          <w:rFonts w:ascii="Times New Roman" w:hAnsi="Times New Roman" w:cs="Times New Roman"/>
          <w:sz w:val="24"/>
          <w:szCs w:val="24"/>
        </w:rPr>
        <w:t>CO2 and brine in limestone/dolomite sands: Implications for geologic carbon sequestration in carbonate reservoirs. Environmental science &amp; technology, 49(12), 7208-7217.</w:t>
      </w:r>
    </w:p>
    <w:sectPr w:rsidSect="001E661A">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61A" w:rsidRPr="001E661A">
    <w:pPr>
      <w:pStyle w:val="Header"/>
      <w:rPr>
        <w:rFonts w:ascii="Times New Roman" w:hAnsi="Times New Roman" w:cs="Times New Roman"/>
        <w:sz w:val="24"/>
        <w:szCs w:val="24"/>
      </w:rPr>
    </w:pPr>
    <w:r w:rsidRPr="001E661A">
      <w:rPr>
        <w:rFonts w:ascii="Times New Roman" w:hAnsi="Times New Roman" w:cs="Times New Roman"/>
        <w:sz w:val="24"/>
        <w:szCs w:val="24"/>
      </w:rPr>
      <w:t>GEOLOGIC CARBON SEQUESTRATION</w:t>
    </w:r>
    <w:r w:rsidRPr="001E661A">
      <w:rPr>
        <w:rFonts w:ascii="Times New Roman" w:hAnsi="Times New Roman" w:cs="Times New Roman"/>
        <w:sz w:val="24"/>
        <w:szCs w:val="24"/>
      </w:rPr>
      <w:tab/>
    </w:r>
    <w:r w:rsidRPr="001E661A">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61A" w:rsidRPr="001E661A">
    <w:pPr>
      <w:pStyle w:val="Header"/>
      <w:rPr>
        <w:rFonts w:ascii="Times New Roman" w:hAnsi="Times New Roman" w:cs="Times New Roman"/>
        <w:sz w:val="24"/>
        <w:szCs w:val="24"/>
      </w:rPr>
    </w:pPr>
    <w:r w:rsidRPr="001E661A">
      <w:rPr>
        <w:rFonts w:ascii="Times New Roman" w:hAnsi="Times New Roman" w:cs="Times New Roman"/>
        <w:sz w:val="24"/>
        <w:szCs w:val="24"/>
      </w:rPr>
      <w:t>Running Head: GEOLOGIC CARBON SEQUESTRATION</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673"/>
    <w:rsid w:val="0003295A"/>
    <w:rsid w:val="001E661A"/>
    <w:rsid w:val="001F60AA"/>
    <w:rsid w:val="00270FBC"/>
    <w:rsid w:val="003670BC"/>
    <w:rsid w:val="00693CBE"/>
    <w:rsid w:val="00850673"/>
    <w:rsid w:val="00A763B9"/>
    <w:rsid w:val="00AE2FEB"/>
    <w:rsid w:val="00B821B1"/>
    <w:rsid w:val="00B91A3D"/>
    <w:rsid w:val="00E327E7"/>
    <w:rsid w:val="00E35F9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B2FCF5C1-4BEF-418E-B24F-0A26CBBCD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61A"/>
  </w:style>
  <w:style w:type="paragraph" w:styleId="Footer">
    <w:name w:val="footer"/>
    <w:basedOn w:val="Normal"/>
    <w:link w:val="FooterChar"/>
    <w:uiPriority w:val="99"/>
    <w:unhideWhenUsed/>
    <w:rsid w:val="001E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2018-11-12T14:36:00Z</dcterms:created>
  <dcterms:modified xsi:type="dcterms:W3CDTF">2018-11-12T14:36:00Z</dcterms:modified>
</cp:coreProperties>
</file>